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Антикризисное государственное управление</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«Антикризисное государственное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«Антикризисное государственное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«Антикризисное государственное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знать основные направления и приоритеты государственной политики в сфере антикризисного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знать нормативно-правовые основы в сфере несостоятельности (банкротства)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уметь применять в профессиональной деятельности инструменты государственной политики в сфере антикризисного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уметь применять на практике нормативно-правовые основы в сфере несостоятельности (банкротства)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ПК-4.66 владеть навыками применения в профессиональной деятельности инструментов государственной политики в сфере антикризисного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ПК-4.67 владеть навыками применения в профессиональной деятельности инструментов нормативно-правовых основ в сфере несостоятельности (банкротства)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«Антикризисное государственное управление»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Антикризисное управление и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государства в регулировании экономикой в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Диагностика кризисного состояния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Антикризисная стратегия и территориальные программы антикризисного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Антикризисное управление и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государства в регулировании экономикой в кризисных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Диагностика кризисного состояния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Антикризисная стратегия и территориальные программы антикризисного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4.94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Антикризисное управление и антикризисное регулирование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Понятие кризиса. Антикризисное регулирование и антикризисное управление. Природа кризисных явлений в экономике регионов и муниципальных образований. Теории цикличности. Современные модели экономических циклов. Модели оценки устойчивости региональной экономической системы. Типология кризисов территории. Принципы антикризисного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государства в регулировании экономикой в кризисных ситуациях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государства в регулировании экономикой. Основные рычаги регулирования. Косвенные и прямые методы регулирования. Антикризисная стратегия и ее связь с антициклической политикой. Виды государственного регулирования кризисных ситуаций в национальном хозяйстве, отрасли и организации. Кризисы в системе управления и регулирования экономикой. Причины кризисов государственного управления. Последствия этих кризисов. Преодоление кризисных явлений в управлении экономикой и цикличностью. Реформирование системы управления как непрерывный процесс, способствующий формированию эффективной экономики. Регулирование и дерегулирование. Особенности либерализации в антикризисном управлении.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органы, осуществляющие антикризисное регулирование. Министерство экономического развития и торговли РФ. Федеральная налоговая служба. Федеральное агентство по управлению федеральным имуществом. Арбитражный суд. Служба судебных приставов. Организационная структура Федерального совета. Территориальные органы – отделения Федерального совета. Управление по антикризисному регулированию Налоговой службы. Саморегулируемая организация арбитражных управляющих. Органы государственного управления РФ, СРФ и местные органы самоуправления. Эволюция системы государственного регулирования в РФ. Меры государственной поддержки предприятий.</w:t>
            </w:r>
          </w:p>
          <w:p>
            <w:pPr>
              <w:jc w:val="both"/>
              <w:spacing w:after="0" w:line="240" w:lineRule="auto"/>
              <w:rPr>
                <w:sz w:val="24"/>
                <w:szCs w:val="24"/>
              </w:rPr>
            </w:pPr>
            <w:r>
              <w:rPr>
                <w:rFonts w:ascii="Times New Roman" w:hAnsi="Times New Roman" w:cs="Times New Roman"/>
                <w:color w:val="#000000"/>
                <w:sz w:val="24"/>
                <w:szCs w:val="24"/>
              </w:rPr>
              <w:t> Поддержка неплатежеспособных предприятий согласно законодательству от 1992, 1998, 2002 г. Формы финансовой поддержки и формы особого администрирования. Меры по предупреждению банкротства для социально-значимых предприятий. Способы государственной финансовой поддержки предприятий согласно бюджетному кодексу, налоговому кодексу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Диагностика кризисного состояния бюджета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основные этапы анализа территориального бюджета. Основные направления анализа территориального бюджета. Задачи бюджетного анализа. Виды бюджетного анализа. Оценка устойчивости территориальных бюджетов. Ключевые индикаторы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Антикризисная стратегия и территориальные программы антикризисного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цели антикризисной стратегии. Содержание стратегии. Понятие антикризисного регулирования развития территорий. Содержание антикризисной политики: цели, задачи, инструменты. Статус депрессивной и кризисной территории. Основные характеристики и этапы антикризисного управления кризисными территориями. Причины депрессивного состояния. Виды депрессивных территорий. Принципы государственной политики в отношении депрессивных территорий.</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Антикризисное управление и антикризисное регулирование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Депрессивные и кризисные территории. Критерии отнесения территорий к депрессивным. Показатели депрессивности.</w:t>
            </w:r>
          </w:p>
          <w:p>
            <w:pPr>
              <w:jc w:val="both"/>
              <w:spacing w:after="0" w:line="240" w:lineRule="auto"/>
              <w:rPr>
                <w:sz w:val="24"/>
                <w:szCs w:val="24"/>
              </w:rPr>
            </w:pPr>
            <w:r>
              <w:rPr>
                <w:rFonts w:ascii="Times New Roman" w:hAnsi="Times New Roman" w:cs="Times New Roman"/>
                <w:color w:val="#000000"/>
                <w:sz w:val="24"/>
                <w:szCs w:val="24"/>
              </w:rPr>
              <w:t> 2.	Локальный уровень депрессии. Ресурсные возможности депрессивной территории. Антикризисное управление в системе ГиМУ.</w:t>
            </w:r>
          </w:p>
          <w:p>
            <w:pPr>
              <w:jc w:val="both"/>
              <w:spacing w:after="0" w:line="240" w:lineRule="auto"/>
              <w:rPr>
                <w:sz w:val="24"/>
                <w:szCs w:val="24"/>
              </w:rPr>
            </w:pPr>
            <w:r>
              <w:rPr>
                <w:rFonts w:ascii="Times New Roman" w:hAnsi="Times New Roman" w:cs="Times New Roman"/>
                <w:color w:val="#000000"/>
                <w:sz w:val="24"/>
                <w:szCs w:val="24"/>
              </w:rPr>
              <w:t> 3.	Отраслевые программы антикризисного управления. 4. Программы поддержки отдельных предприятий.</w:t>
            </w:r>
          </w:p>
          <w:p>
            <w:pPr>
              <w:jc w:val="both"/>
              <w:spacing w:after="0" w:line="240" w:lineRule="auto"/>
              <w:rPr>
                <w:sz w:val="24"/>
                <w:szCs w:val="24"/>
              </w:rPr>
            </w:pPr>
            <w:r>
              <w:rPr>
                <w:rFonts w:ascii="Times New Roman" w:hAnsi="Times New Roman" w:cs="Times New Roman"/>
                <w:color w:val="#000000"/>
                <w:sz w:val="24"/>
                <w:szCs w:val="24"/>
              </w:rPr>
              <w:t> 4.	Программы вывода из кризиса отдельных территорий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государства в регулировании экономикой в кризисных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государства в регулировании экономикой. Основные рычаги регулирования.</w:t>
            </w:r>
          </w:p>
          <w:p>
            <w:pPr>
              <w:jc w:val="both"/>
              <w:spacing w:after="0" w:line="240" w:lineRule="auto"/>
              <w:rPr>
                <w:sz w:val="24"/>
                <w:szCs w:val="24"/>
              </w:rPr>
            </w:pPr>
            <w:r>
              <w:rPr>
                <w:rFonts w:ascii="Times New Roman" w:hAnsi="Times New Roman" w:cs="Times New Roman"/>
                <w:color w:val="#000000"/>
                <w:sz w:val="24"/>
                <w:szCs w:val="24"/>
              </w:rPr>
              <w:t> 2.	Косвенные и прямые методы регулирования.</w:t>
            </w:r>
          </w:p>
          <w:p>
            <w:pPr>
              <w:jc w:val="both"/>
              <w:spacing w:after="0" w:line="240" w:lineRule="auto"/>
              <w:rPr>
                <w:sz w:val="24"/>
                <w:szCs w:val="24"/>
              </w:rPr>
            </w:pPr>
            <w:r>
              <w:rPr>
                <w:rFonts w:ascii="Times New Roman" w:hAnsi="Times New Roman" w:cs="Times New Roman"/>
                <w:color w:val="#000000"/>
                <w:sz w:val="24"/>
                <w:szCs w:val="24"/>
              </w:rPr>
              <w:t> 3.	Антикризисная стратегия и ее связь с антициклической политикой.</w:t>
            </w:r>
          </w:p>
          <w:p>
            <w:pPr>
              <w:jc w:val="both"/>
              <w:spacing w:after="0" w:line="240" w:lineRule="auto"/>
              <w:rPr>
                <w:sz w:val="24"/>
                <w:szCs w:val="24"/>
              </w:rPr>
            </w:pPr>
            <w:r>
              <w:rPr>
                <w:rFonts w:ascii="Times New Roman" w:hAnsi="Times New Roman" w:cs="Times New Roman"/>
                <w:color w:val="#000000"/>
                <w:sz w:val="24"/>
                <w:szCs w:val="24"/>
              </w:rPr>
              <w:t> 4.	Виды государственного регулирования кризисных ситуаций в национальном хозяйстве, отрасли и организации.</w:t>
            </w:r>
          </w:p>
          <w:p>
            <w:pPr>
              <w:jc w:val="both"/>
              <w:spacing w:after="0" w:line="240" w:lineRule="auto"/>
              <w:rPr>
                <w:sz w:val="24"/>
                <w:szCs w:val="24"/>
              </w:rPr>
            </w:pPr>
            <w:r>
              <w:rPr>
                <w:rFonts w:ascii="Times New Roman" w:hAnsi="Times New Roman" w:cs="Times New Roman"/>
                <w:color w:val="#000000"/>
                <w:sz w:val="24"/>
                <w:szCs w:val="24"/>
              </w:rPr>
              <w:t> 5.	Кризисы в системе управления и регулирования экономикой.</w:t>
            </w:r>
          </w:p>
          <w:p>
            <w:pPr>
              <w:jc w:val="both"/>
              <w:spacing w:after="0" w:line="240" w:lineRule="auto"/>
              <w:rPr>
                <w:sz w:val="24"/>
                <w:szCs w:val="24"/>
              </w:rPr>
            </w:pPr>
            <w:r>
              <w:rPr>
                <w:rFonts w:ascii="Times New Roman" w:hAnsi="Times New Roman" w:cs="Times New Roman"/>
                <w:color w:val="#000000"/>
                <w:sz w:val="24"/>
                <w:szCs w:val="24"/>
              </w:rPr>
              <w:t> 6.	Причины кризисов государственного управления. Последствия этих кризисов.</w:t>
            </w:r>
          </w:p>
          <w:p>
            <w:pPr>
              <w:jc w:val="both"/>
              <w:spacing w:after="0" w:line="240" w:lineRule="auto"/>
              <w:rPr>
                <w:sz w:val="24"/>
                <w:szCs w:val="24"/>
              </w:rPr>
            </w:pPr>
            <w:r>
              <w:rPr>
                <w:rFonts w:ascii="Times New Roman" w:hAnsi="Times New Roman" w:cs="Times New Roman"/>
                <w:color w:val="#000000"/>
                <w:sz w:val="24"/>
                <w:szCs w:val="24"/>
              </w:rPr>
              <w:t> 7.	Преодоление кризисных явлений в управлении экономикой и цикличностью.</w:t>
            </w:r>
          </w:p>
          <w:p>
            <w:pPr>
              <w:jc w:val="both"/>
              <w:spacing w:after="0" w:line="240" w:lineRule="auto"/>
              <w:rPr>
                <w:sz w:val="24"/>
                <w:szCs w:val="24"/>
              </w:rPr>
            </w:pPr>
            <w:r>
              <w:rPr>
                <w:rFonts w:ascii="Times New Roman" w:hAnsi="Times New Roman" w:cs="Times New Roman"/>
                <w:color w:val="#000000"/>
                <w:sz w:val="24"/>
                <w:szCs w:val="24"/>
              </w:rPr>
              <w:t> 8.	Реформирование системы управления как непрерывный процесс, способствующий формированию эффективной экономики.</w:t>
            </w:r>
          </w:p>
          <w:p>
            <w:pPr>
              <w:jc w:val="both"/>
              <w:spacing w:after="0" w:line="240" w:lineRule="auto"/>
              <w:rPr>
                <w:sz w:val="24"/>
                <w:szCs w:val="24"/>
              </w:rPr>
            </w:pPr>
            <w:r>
              <w:rPr>
                <w:rFonts w:ascii="Times New Roman" w:hAnsi="Times New Roman" w:cs="Times New Roman"/>
                <w:color w:val="#000000"/>
                <w:sz w:val="24"/>
                <w:szCs w:val="24"/>
              </w:rPr>
              <w:t> 9.	Регулирование и дерегулирование. Особенности либерализации в антикризисном управлении.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Эволюция системы государственного регулирования в РФ.</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государственного антикризисного регулирования: история их развития и компетенция</w:t>
            </w:r>
          </w:p>
          <w:p>
            <w:pPr>
              <w:jc w:val="both"/>
              <w:spacing w:after="0" w:line="240" w:lineRule="auto"/>
              <w:rPr>
                <w:sz w:val="24"/>
                <w:szCs w:val="24"/>
              </w:rPr>
            </w:pPr>
            <w:r>
              <w:rPr>
                <w:rFonts w:ascii="Times New Roman" w:hAnsi="Times New Roman" w:cs="Times New Roman"/>
                <w:color w:val="#000000"/>
                <w:sz w:val="24"/>
                <w:szCs w:val="24"/>
              </w:rPr>
              <w:t> 3.	Меры государственной поддержки предприятий. Поддержка неплатежеспособных предприятий согласно законодательству от 1992, 1998, 2002 г.</w:t>
            </w:r>
          </w:p>
          <w:p>
            <w:pPr>
              <w:jc w:val="both"/>
              <w:spacing w:after="0" w:line="240" w:lineRule="auto"/>
              <w:rPr>
                <w:sz w:val="24"/>
                <w:szCs w:val="24"/>
              </w:rPr>
            </w:pPr>
            <w:r>
              <w:rPr>
                <w:rFonts w:ascii="Times New Roman" w:hAnsi="Times New Roman" w:cs="Times New Roman"/>
                <w:color w:val="#000000"/>
                <w:sz w:val="24"/>
                <w:szCs w:val="24"/>
              </w:rPr>
              <w:t> 4.	Государственная финансовая поддержка неплатежеспособных предприятий: порядок, направленность и источники.</w:t>
            </w:r>
          </w:p>
          <w:p>
            <w:pPr>
              <w:jc w:val="both"/>
              <w:spacing w:after="0" w:line="240" w:lineRule="auto"/>
              <w:rPr>
                <w:sz w:val="24"/>
                <w:szCs w:val="24"/>
              </w:rPr>
            </w:pPr>
            <w:r>
              <w:rPr>
                <w:rFonts w:ascii="Times New Roman" w:hAnsi="Times New Roman" w:cs="Times New Roman"/>
                <w:color w:val="#000000"/>
                <w:sz w:val="24"/>
                <w:szCs w:val="24"/>
              </w:rPr>
              <w:t> 5.	Роль налоговой политики в преодолении кризисного состояния предприятия.</w:t>
            </w:r>
          </w:p>
          <w:p>
            <w:pPr>
              <w:jc w:val="both"/>
              <w:spacing w:after="0" w:line="240" w:lineRule="auto"/>
              <w:rPr>
                <w:sz w:val="24"/>
                <w:szCs w:val="24"/>
              </w:rPr>
            </w:pPr>
            <w:r>
              <w:rPr>
                <w:rFonts w:ascii="Times New Roman" w:hAnsi="Times New Roman" w:cs="Times New Roman"/>
                <w:color w:val="#000000"/>
                <w:sz w:val="24"/>
                <w:szCs w:val="24"/>
              </w:rPr>
              <w:t> 6.	Функции органов государственной власти, осуществляющих государственное антикризисное регулирование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Диагностика кризисного состояния бюджета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Предельные бюджетные параметры и последствия их нарушений.</w:t>
            </w:r>
          </w:p>
          <w:p>
            <w:pPr>
              <w:jc w:val="both"/>
              <w:spacing w:after="0" w:line="240" w:lineRule="auto"/>
              <w:rPr>
                <w:sz w:val="24"/>
                <w:szCs w:val="24"/>
              </w:rPr>
            </w:pPr>
            <w:r>
              <w:rPr>
                <w:rFonts w:ascii="Times New Roman" w:hAnsi="Times New Roman" w:cs="Times New Roman"/>
                <w:color w:val="#000000"/>
                <w:sz w:val="24"/>
                <w:szCs w:val="24"/>
              </w:rPr>
              <w:t> 2.	Разработка антикризисной стратегии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3.	Структура территориального бюджета. Виды устойчивости территориальных бюджетов.</w:t>
            </w:r>
          </w:p>
          <w:p>
            <w:pPr>
              <w:jc w:val="both"/>
              <w:spacing w:after="0" w:line="240" w:lineRule="auto"/>
              <w:rPr>
                <w:sz w:val="24"/>
                <w:szCs w:val="24"/>
              </w:rPr>
            </w:pPr>
            <w:r>
              <w:rPr>
                <w:rFonts w:ascii="Times New Roman" w:hAnsi="Times New Roman" w:cs="Times New Roman"/>
                <w:color w:val="#000000"/>
                <w:sz w:val="24"/>
                <w:szCs w:val="24"/>
              </w:rPr>
              <w:t> 4.	Количественные параметры оценки ликвидности бюджета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Антикризисная стратегия и территориальные программы антикризисного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 антикризисных стратегий территории. (развитие, трансформация, защита, политическая смена).</w:t>
            </w:r>
          </w:p>
          <w:p>
            <w:pPr>
              <w:jc w:val="both"/>
              <w:spacing w:after="0" w:line="240" w:lineRule="auto"/>
              <w:rPr>
                <w:sz w:val="24"/>
                <w:szCs w:val="24"/>
              </w:rPr>
            </w:pPr>
            <w:r>
              <w:rPr>
                <w:rFonts w:ascii="Times New Roman" w:hAnsi="Times New Roman" w:cs="Times New Roman"/>
                <w:color w:val="#000000"/>
                <w:sz w:val="24"/>
                <w:szCs w:val="24"/>
              </w:rPr>
              <w:t> 2.	Модели построения стратегии. Теория кластеров.</w:t>
            </w:r>
          </w:p>
          <w:p>
            <w:pPr>
              <w:jc w:val="both"/>
              <w:spacing w:after="0" w:line="240" w:lineRule="auto"/>
              <w:rPr>
                <w:sz w:val="24"/>
                <w:szCs w:val="24"/>
              </w:rPr>
            </w:pPr>
            <w:r>
              <w:rPr>
                <w:rFonts w:ascii="Times New Roman" w:hAnsi="Times New Roman" w:cs="Times New Roman"/>
                <w:color w:val="#000000"/>
                <w:sz w:val="24"/>
                <w:szCs w:val="24"/>
              </w:rPr>
              <w:t> 3.	Теория предпринимательских экосистем. Теория «соконкуренции».</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территориями с особым статусом в ходе антикризисного управления (ОЭЗ, ЗАТО, моногорода, технопарк).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«Антикризисное государственное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Левакин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Добросоцкий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Арабян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Баранников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хаоса.</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Кочеткова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https://www.biblio-online.ru/bcode/412006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2024-2025_ФГОС3++2024_Маг-ЗФО-ГМУ(ЮО)(24)_plx_Антикризисное государственное управление</dc:title>
  <dc:creator>FastReport.NET</dc:creator>
</cp:coreProperties>
</file>